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采购通服务协议</w:t>
      </w:r>
    </w:p>
    <w:p>
      <w:pPr>
        <w:spacing w:line="240" w:lineRule="auto"/>
        <w:ind w:firstLine="0" w:firstLineChars="200"/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采购通</w:t>
      </w:r>
      <w:r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1"/>
          <w:szCs w:val="21"/>
          <w:shd w:val="clear" w:fill="FFFFFF"/>
        </w:rPr>
        <w:t>服务协议（以下简称本协议）由</w:t>
      </w:r>
      <w:r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北京中钢网信息股份</w:t>
      </w:r>
      <w:r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1"/>
          <w:szCs w:val="21"/>
          <w:shd w:val="clear" w:fill="FFFFFF"/>
        </w:rPr>
        <w:t>有限公司（以下简称本公司）和您签订。</w:t>
      </w:r>
    </w:p>
    <w:p>
      <w:pPr>
        <w:spacing w:line="240" w:lineRule="auto"/>
        <w:ind w:firstLine="0" w:firstLineChars="200"/>
        <w:rPr>
          <w:rStyle w:val="6"/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1"/>
          <w:szCs w:val="21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1"/>
          <w:szCs w:val="21"/>
          <w:shd w:val="clear" w:fill="FFFFFF"/>
        </w:rPr>
        <w:t>在接受本协议或您以本公司允许的其他方式实际使用</w:t>
      </w: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采购通</w:t>
      </w: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1"/>
          <w:szCs w:val="21"/>
          <w:shd w:val="clear" w:fill="FFFFFF"/>
        </w:rPr>
        <w:t>服务之前，请您仔细阅读本协议的全部内容。如果您不同意本协议的任意内容，或者无法准确理解本公司对条款的解释，请不要进行后续操作，包括但不限于不要接受本协议，不使用本服务。</w:t>
      </w:r>
    </w:p>
    <w:p>
      <w:pPr>
        <w:numPr>
          <w:ilvl w:val="0"/>
          <w:numId w:val="1"/>
        </w:numPr>
        <w:tabs>
          <w:tab w:val="left" w:pos="425"/>
        </w:tabs>
        <w:spacing w:line="240" w:lineRule="auto"/>
        <w:ind w:left="425" w:leftChars="0" w:hanging="425" w:firstLineChars="0"/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采购通使用规范</w:t>
      </w:r>
    </w:p>
    <w:p>
      <w:pPr>
        <w:numPr>
          <w:ilvl w:val="1"/>
          <w:numId w:val="1"/>
        </w:numPr>
        <w:tabs>
          <w:tab w:val="left" w:pos="840"/>
        </w:tabs>
        <w:spacing w:line="240" w:lineRule="auto"/>
        <w:ind w:left="840" w:leftChars="0" w:hanging="420" w:firstLineChars="0"/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招标方通过中钢网采购通平台发布招标信息。招标信息包括但不限于产品名称、采购量、产地/厂家及对供应商要求（收货地、交货期、交易模式、经营模式、发票开具、报价要求等），必要时须附企业采购技术协议。</w:t>
      </w:r>
    </w:p>
    <w:p>
      <w:pPr>
        <w:numPr>
          <w:ilvl w:val="1"/>
          <w:numId w:val="1"/>
        </w:numPr>
        <w:tabs>
          <w:tab w:val="left" w:pos="840"/>
        </w:tabs>
        <w:spacing w:line="240" w:lineRule="auto"/>
        <w:ind w:left="840" w:leftChars="0" w:hanging="420" w:firstLineChars="0"/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投标方通过中钢网采购通平台查看招标信息并报价。投标方在中钢网采购通有三次报价机会，以最后一次报价为准。</w:t>
      </w:r>
    </w:p>
    <w:p>
      <w:pPr>
        <w:numPr>
          <w:ilvl w:val="1"/>
          <w:numId w:val="1"/>
        </w:numPr>
        <w:tabs>
          <w:tab w:val="left" w:pos="840"/>
        </w:tabs>
        <w:spacing w:line="240" w:lineRule="auto"/>
        <w:ind w:left="840" w:leftChars="0" w:hanging="420" w:firstLineChars="0"/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招标方根据投标方报价确认中标方，并通过中钢网采购通平台发布中标结果。</w:t>
      </w:r>
    </w:p>
    <w:p>
      <w:pPr>
        <w:numPr>
          <w:ilvl w:val="1"/>
          <w:numId w:val="1"/>
        </w:numPr>
        <w:tabs>
          <w:tab w:val="left" w:pos="840"/>
        </w:tabs>
        <w:spacing w:line="240" w:lineRule="auto"/>
        <w:ind w:left="840" w:leftChars="0" w:hanging="420" w:firstLineChars="0"/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招标方与投标方依招投标结果签订协议并履行。招标方按时付款、提货，中标方按时交货、保质保量。</w:t>
      </w:r>
    </w:p>
    <w:p>
      <w:pPr>
        <w:numPr>
          <w:ilvl w:val="0"/>
          <w:numId w:val="1"/>
        </w:numPr>
        <w:tabs>
          <w:tab w:val="left" w:pos="425"/>
        </w:tabs>
        <w:spacing w:line="240" w:lineRule="auto"/>
        <w:ind w:left="425" w:leftChars="0" w:hanging="425" w:firstLineChars="0"/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采购通免责声明</w:t>
      </w:r>
    </w:p>
    <w:p>
      <w:pPr>
        <w:numPr>
          <w:ilvl w:val="1"/>
          <w:numId w:val="1"/>
        </w:numPr>
        <w:tabs>
          <w:tab w:val="left" w:pos="840"/>
        </w:tabs>
        <w:spacing w:line="240" w:lineRule="auto"/>
        <w:ind w:left="840" w:leftChars="0" w:hanging="420" w:firstLineChars="0"/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您应明确，采购通平台仅为您及交易对方提供招投标的信息交换服务，除接受各方信息发布指令外，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</w:rPr>
        <w:t>不对交易标的及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履行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</w:rPr>
        <w:t>提供任何形式的保证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。本公司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</w:rPr>
        <w:t>无法保证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您及交易对方提供的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</w:rPr>
        <w:t>信息之准确、及时和完整，您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应自行判断。</w:t>
      </w:r>
    </w:p>
    <w:p>
      <w:pPr>
        <w:numPr>
          <w:ilvl w:val="1"/>
          <w:numId w:val="1"/>
        </w:numPr>
        <w:tabs>
          <w:tab w:val="left" w:pos="840"/>
        </w:tabs>
        <w:spacing w:line="240" w:lineRule="auto"/>
        <w:ind w:left="840" w:leftChars="0" w:hanging="420" w:firstLineChars="0"/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在使用采购通服务时，您应诚实守信，对发布的招标或投标信息的真实性、准确性、完整性、合法性等负独立责任。如本公司发现您有不诚信行为，有权采取限制您使用采购通平台服务或其他必要措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施，由此引发的风险和责任由您自己承担；</w:t>
      </w:r>
    </w:p>
    <w:p>
      <w:pPr>
        <w:numPr>
          <w:ilvl w:val="1"/>
          <w:numId w:val="1"/>
        </w:numPr>
        <w:tabs>
          <w:tab w:val="left" w:pos="840"/>
        </w:tabs>
        <w:spacing w:line="240" w:lineRule="auto"/>
        <w:ind w:left="840" w:leftChars="0" w:hanging="420" w:firstLineChars="0"/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因适用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采购通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服务从事的交易所产生的任何风险应由您与交易对方承担。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但如您委托中钢网进行招投标，则招投标结束后由中钢网与您及交易对方签订协议并履行，由此产生的相应的合同权利义务由中钢网承担。</w:t>
      </w:r>
    </w:p>
    <w:p>
      <w:pPr>
        <w:numPr>
          <w:ilvl w:val="1"/>
          <w:numId w:val="1"/>
        </w:numPr>
        <w:tabs>
          <w:tab w:val="left" w:pos="840"/>
        </w:tabs>
        <w:spacing w:line="240" w:lineRule="auto"/>
        <w:ind w:left="840" w:leftChars="0" w:hanging="420" w:firstLineChars="0"/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</w:rPr>
        <w:t>您经由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采购通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</w:rPr>
        <w:t>服务之使用下载或取得任何资料，应由您自行考量且自负风险，因资料之下载而导致您电脑系统之任何损坏或资料流失，您应负完全责任。</w:t>
      </w:r>
    </w:p>
    <w:p>
      <w:pPr>
        <w:numPr>
          <w:ilvl w:val="1"/>
          <w:numId w:val="1"/>
        </w:numPr>
        <w:tabs>
          <w:tab w:val="left" w:pos="840"/>
        </w:tabs>
        <w:spacing w:line="240" w:lineRule="auto"/>
        <w:ind w:left="840" w:leftChars="0" w:hanging="420" w:firstLineChars="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</w:rPr>
        <w:t>除本协议另有规定或本公司另行同意外，您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通过采购通平台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</w:rPr>
        <w:t>对本公司的委托及向本公司发出的指令均不可撤销。</w:t>
      </w:r>
    </w:p>
    <w:p>
      <w:pPr>
        <w:numPr>
          <w:ilvl w:val="1"/>
          <w:numId w:val="1"/>
        </w:numPr>
        <w:tabs>
          <w:tab w:val="left" w:pos="840"/>
        </w:tabs>
        <w:spacing w:line="240" w:lineRule="auto"/>
        <w:ind w:left="840" w:leftChars="0" w:hanging="420" w:firstLineChars="0"/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本公司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</w:rPr>
        <w:t>有权定期或不定期对网站系统进行维护、升级和改造，因此而造成网站服务的暂时中断，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本公司免责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</w:rPr>
        <w:t>。</w:t>
      </w:r>
    </w:p>
    <w:p>
      <w:pPr>
        <w:numPr>
          <w:ilvl w:val="0"/>
          <w:numId w:val="1"/>
        </w:numPr>
        <w:tabs>
          <w:tab w:val="left" w:pos="425"/>
        </w:tabs>
        <w:spacing w:line="240" w:lineRule="auto"/>
        <w:ind w:left="425" w:leftChars="0" w:hanging="425" w:firstLineChars="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1"/>
          <w:szCs w:val="21"/>
          <w:shd w:val="clear" w:fill="FFFFFF"/>
        </w:rPr>
        <w:t>法律适用与管辖</w:t>
      </w:r>
      <w:r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</w:rPr>
        <w:t>本协议之效力、解释、变更、执行与争议解决均适用中华人民共和国法律。因本协议产生之争议，均应依照中华人民共和国法律予以处理，并由被告住所地人民法院管辖。</w:t>
      </w:r>
    </w:p>
    <w:p>
      <w:pPr>
        <w:widowControl w:val="0"/>
        <w:numPr>
          <w:ilvl w:val="0"/>
          <w:numId w:val="0"/>
        </w:numPr>
        <w:tabs>
          <w:tab w:val="clear" w:pos="425"/>
        </w:tabs>
        <w:spacing w:line="240" w:lineRule="auto"/>
        <w:jc w:val="both"/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</w:rPr>
      </w:pPr>
    </w:p>
    <w:p>
      <w:pPr>
        <w:widowControl w:val="0"/>
        <w:numPr>
          <w:ilvl w:val="0"/>
          <w:numId w:val="0"/>
        </w:numPr>
        <w:tabs>
          <w:tab w:val="clear" w:pos="425"/>
        </w:tabs>
        <w:spacing w:line="240" w:lineRule="auto"/>
        <w:jc w:val="both"/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</w:rPr>
      </w:pPr>
    </w:p>
    <w:p>
      <w:pPr>
        <w:widowControl w:val="0"/>
        <w:numPr>
          <w:ilvl w:val="0"/>
          <w:numId w:val="0"/>
        </w:numPr>
        <w:tabs>
          <w:tab w:val="clear" w:pos="425"/>
        </w:tabs>
        <w:spacing w:line="240" w:lineRule="auto"/>
        <w:jc w:val="both"/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4D4D4D"/>
          <w:spacing w:val="0"/>
          <w:sz w:val="21"/>
          <w:szCs w:val="21"/>
          <w:shd w:val="clear" w:fill="FFFFFF"/>
        </w:rPr>
      </w:pPr>
    </w:p>
    <w:p>
      <w:pPr>
        <w:spacing w:line="240" w:lineRule="auto"/>
        <w:jc w:val="right"/>
        <w:rPr>
          <w:rStyle w:val="6"/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1"/>
          <w:szCs w:val="21"/>
          <w:shd w:val="clear" w:fill="FFFFFF"/>
          <w:lang w:eastAsia="zh-CN"/>
        </w:rPr>
        <w:t>北京中钢网信息股份有限公司</w:t>
      </w:r>
    </w:p>
    <w:p>
      <w:pPr>
        <w:spacing w:line="240" w:lineRule="auto"/>
        <w:jc w:val="right"/>
        <w:rPr>
          <w:rStyle w:val="6"/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1"/>
          <w:szCs w:val="21"/>
          <w:shd w:val="clear" w:fill="FFFFFF"/>
          <w:lang w:val="en-US" w:eastAsia="zh-CN"/>
        </w:rPr>
        <w:t>2016年3月1日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8011300">
    <w:nsid w:val="56E77CA4"/>
    <w:multiLevelType w:val="multilevel"/>
    <w:tmpl w:val="56E77CA4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4580113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32E61"/>
    <w:rsid w:val="005D3C24"/>
    <w:rsid w:val="05DF682E"/>
    <w:rsid w:val="06A27BF1"/>
    <w:rsid w:val="0D0962F1"/>
    <w:rsid w:val="17B865FB"/>
    <w:rsid w:val="17EF5450"/>
    <w:rsid w:val="1A443726"/>
    <w:rsid w:val="1D671CC9"/>
    <w:rsid w:val="1FFD0A09"/>
    <w:rsid w:val="210C0BC6"/>
    <w:rsid w:val="21871145"/>
    <w:rsid w:val="2622669F"/>
    <w:rsid w:val="2E277CC4"/>
    <w:rsid w:val="32116E77"/>
    <w:rsid w:val="32E32E61"/>
    <w:rsid w:val="377A5B12"/>
    <w:rsid w:val="37843EA3"/>
    <w:rsid w:val="37C60190"/>
    <w:rsid w:val="3CC141F9"/>
    <w:rsid w:val="3F9969F7"/>
    <w:rsid w:val="408D72F4"/>
    <w:rsid w:val="486F6565"/>
    <w:rsid w:val="50CA0599"/>
    <w:rsid w:val="51A45CFD"/>
    <w:rsid w:val="536B5669"/>
    <w:rsid w:val="56C51B68"/>
    <w:rsid w:val="5D1F2257"/>
    <w:rsid w:val="5E3A0425"/>
    <w:rsid w:val="5F600208"/>
    <w:rsid w:val="60E73507"/>
    <w:rsid w:val="62207D8C"/>
    <w:rsid w:val="6700318D"/>
    <w:rsid w:val="6B1F4E4B"/>
    <w:rsid w:val="6C4D333F"/>
    <w:rsid w:val="72CB1664"/>
    <w:rsid w:val="751F40B7"/>
    <w:rsid w:val="7B1A56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1"/>
    <w:uiPriority w:val="0"/>
    <w:pPr>
      <w:spacing w:line="240" w:lineRule="auto"/>
      <w:ind w:firstLine="560" w:firstLineChars="200"/>
    </w:pPr>
    <w:rPr>
      <w:rFonts w:ascii="Times New Roman" w:hAnsi="Times New Roman"/>
      <w:kern w:val="0"/>
      <w:sz w:val="28"/>
      <w:szCs w:val="20"/>
    </w:rPr>
  </w:style>
  <w:style w:type="paragraph" w:styleId="4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2016-03-15T01:44:00Z</dcterms:created>
  <dc:creator>Administrator</dc:creator>
  <cp:lastModifiedBy>Administrator</cp:lastModifiedBy>
  <dcterms:modified xsi:type="dcterms:W3CDTF">2016-03-15T10:33:18Z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